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rPr>
          <w:b/>
          <w:bCs/>
          <w:sz w:val="30"/>
          <w:szCs w:val="30"/>
        </w:rPr>
        <w:t xml:space="preserve">ПОЛИТИКА
в отношении обработки персональных данных
ООО «ВКУС И ЦВЕТ САНКТ-ПЕТЕРБУРГ»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Дата актуализации редакции: 11.09.2026. Настоящая Политика разработана Обществом с ограниченной ответственностью «ВКУС И ЦВЕТ САНКТ-ПЕТЕРБУРГ» (ИНН 7840449080, ОГРН 1117847112030, далее — «Оператор») в соответствии с Федеральным законом от 27.07.2006 № 152-ФЗ «О персональных данных» и определяет порядок обработки и защиты персональных данных, а также права и обязанности Оператора и субъектов персональных данных.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1. Общие положения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1.1. </w:t>
      </w:r>
      <w:r>
        <w:rPr>
          <w:sz w:val="22"/>
          <w:szCs w:val="22"/>
        </w:rPr>
        <w:t xml:space="preserve">Политика применяется ко всем персональным данным, которые Оператор обрабатывает с использованием средств автоматизации и без таковых, в том числе полученным при оформлении заказов на сайте Оператора </w:t>
      </w:r>
      <w:r>
        <w:rPr>
          <w:i/>
          <w:iCs/>
          <w:color w:val="C00000"/>
        </w:rPr>
        <w:t xml:space="preserve">[указать адрес сайта]</w:t>
      </w:r>
      <w:r>
        <w:rPr>
          <w:sz w:val="22"/>
          <w:szCs w:val="22"/>
        </w:rPr>
        <w:t xml:space="preserve">, по телефону или иным способом.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1.2. </w:t>
      </w:r>
      <w:r>
        <w:rPr>
          <w:sz w:val="22"/>
          <w:szCs w:val="22"/>
        </w:rPr>
        <w:t xml:space="preserve">Акцептуя договор публичной оферты Оператора либо иным образом предоставляя Оператору свои персональные данные, субъект персональных данных подтверждает ознакомление с условиями настоящей Политики.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2. Основные понятия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2.1. </w:t>
      </w:r>
      <w:r>
        <w:rPr>
          <w:sz w:val="22"/>
          <w:szCs w:val="22"/>
        </w:rPr>
        <w:t xml:space="preserve">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2.2. </w:t>
      </w:r>
      <w:r>
        <w:rPr>
          <w:sz w:val="22"/>
          <w:szCs w:val="22"/>
        </w:rPr>
        <w:t xml:space="preserve">Оператор — юридическое лицо, самостоятельно или совместно с другими лицами организующее и (или) осуществляющее обработку персональных данных, а также определяющее цели обработки, состав данных и действия с ними.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2.3. </w:t>
      </w:r>
      <w:r>
        <w:rPr>
          <w:sz w:val="22"/>
          <w:szCs w:val="22"/>
        </w:rPr>
        <w:t xml:space="preserve">Обработка персональных данных — любое действие (операция) или совокупность действий, совершаемых с персональными данными, включая сбор, запись, систематизацию, накопление, хранение, уточнение, извлечение, использование, передачу (распространение, предоставление, доступ), блокирование, удаление, уничтожение персональных данных.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Третье лицо — лицо, не являющееся Оператором, которому Оператор передаёт персональные данные на законных основаниях, в том числе для исполнения обязательств перед субъектом персональных данных.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3. Категории субъектов и состав обрабатываемых персональных данных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3.1. </w:t>
      </w:r>
      <w:r>
        <w:rPr>
          <w:sz w:val="22"/>
          <w:szCs w:val="22"/>
        </w:rPr>
        <w:t xml:space="preserve">Оператор обрабатывает персональные данные следующих категорий субъектов: Заказчиков услуг Оператора; Получателей доставки, указанных Заказчиком (получателей цветочных композиций и декора); участников программы лояльности Оператора.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3.2. </w:t>
      </w:r>
      <w:r>
        <w:rPr>
          <w:sz w:val="22"/>
          <w:szCs w:val="22"/>
        </w:rPr>
        <w:t xml:space="preserve">Состав обрабатываемых персональных данных: фамилия, имя, отчество; номер контактного телефона; адрес доставки; адрес электронной почты (при его указании); идентификатор карты лояльности и данные об истории начисления и списания бонусных баллов; иные данные, предоставленные субъектом добровольно при оформлении заказа либо при обращении к Оператору.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3.3. </w:t>
      </w:r>
      <w:r>
        <w:rPr>
          <w:sz w:val="22"/>
          <w:szCs w:val="22"/>
        </w:rPr>
        <w:t xml:space="preserve">Оператор не обрабатывает специальные категории персональных данных (сведения о расовой, национальной принадлежности, политических взглядах, состоянии здоровья и т.п.) и биометрические персональные данные.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4. Цели обработки персональных данных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4.1. </w:t>
      </w:r>
      <w:r>
        <w:rPr>
          <w:sz w:val="22"/>
          <w:szCs w:val="22"/>
        </w:rPr>
        <w:t xml:space="preserve">Заключение и исполнение договора оказания услуг, в том числе организация и осуществление доставки цветочных композиций и декора.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4.2. </w:t>
      </w:r>
      <w:r>
        <w:rPr>
          <w:sz w:val="22"/>
          <w:szCs w:val="22"/>
        </w:rPr>
        <w:t xml:space="preserve">Связь с Получателем и (или) Заказчиком для согласования условий доставки (адрес, время), а также при возникновении непредвиденных ситуаций, препятствующих исполнению заказа.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4.3. </w:t>
      </w:r>
      <w:r>
        <w:rPr>
          <w:sz w:val="22"/>
          <w:szCs w:val="22"/>
        </w:rPr>
        <w:t xml:space="preserve">Ведение программы лояльности: начисление, учёт и списание бонусных баллов, информирование участника о состоянии его бонусного счёта.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4.4. </w:t>
      </w:r>
      <w:r>
        <w:rPr>
          <w:sz w:val="22"/>
          <w:szCs w:val="22"/>
        </w:rPr>
        <w:t xml:space="preserve">Информирование субъекта об акциях, специальных предложениях и новостях Оператора — исключительно при наличии отдельного согласия субъекта на получение рекламных и информационных рассылок.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4.5. </w:t>
      </w:r>
      <w:r>
        <w:rPr>
          <w:sz w:val="22"/>
          <w:szCs w:val="22"/>
        </w:rPr>
        <w:t xml:space="preserve">Исполнение требований законодательства Российской Федерации, в том числе в области бухгалтерского и налогового учёта.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5. Правовые основания обработки персональных данных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5.1. </w:t>
      </w:r>
      <w:r>
        <w:rPr>
          <w:sz w:val="22"/>
          <w:szCs w:val="22"/>
        </w:rPr>
        <w:t xml:space="preserve">Обработка персональных данных осуществляется на основании: согласия субъекта персональных данных на обработку его персональных данных; необходимости исполнения договора, стороной которого либо выгодоприобретателем по которому является субъект персональных данных; иных оснований, предусмотренных статьёй 6 Федерального закона № 152-ФЗ.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6. Передача персональных данных третьим лицам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6.1. </w:t>
      </w:r>
      <w:r>
        <w:rPr>
          <w:sz w:val="22"/>
          <w:szCs w:val="22"/>
        </w:rPr>
        <w:t xml:space="preserve">Персональные данные обрабатываются штатными работниками Оператора, в том числе курьерами, исключительно в объёме, необходимом для выполнения ими трудовых обязанностей. На таких работников распространяется режим конфиденциальности, установленный локальными нормативными актами Оператора и трудовыми договорами.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6.2. </w:t>
      </w:r>
      <w:r>
        <w:rPr>
          <w:sz w:val="22"/>
          <w:szCs w:val="22"/>
        </w:rPr>
        <w:t xml:space="preserve">Для целей исполнения доставки Оператор передаёт часть персональных данных (фамилию, имя, отчество Получателя и (или) Заказчика, номер телефона, адрес доставки) Партнёру-перевозчику — ООО «Яндекс.Доставка» (ИНН 7716760301, ОГРН 5137746103677) — на основании заключённого с ним договора (соглашения), предусматривающего обязанность Партнёра-перевозчика обеспечивать конфиденциальность и безопасность полученных данных и использовать их исключительно в целях исполнения доставки.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6.3. </w:t>
      </w:r>
      <w:r>
        <w:rPr>
          <w:sz w:val="22"/>
          <w:szCs w:val="22"/>
        </w:rPr>
        <w:t xml:space="preserve">Оформляя заказ с указанием данных Получателя, отличного от Заказчика, Заказчик подтверждает наличие согласия такого Получателя на обработку и передачу его персональных данных Оператору и Партнёру-перевозчику в целях, указанных в разделе 4 настоящей Политики.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6.4. </w:t>
      </w:r>
      <w:r>
        <w:rPr>
          <w:sz w:val="22"/>
          <w:szCs w:val="22"/>
        </w:rPr>
        <w:t xml:space="preserve">Передача персональных данных иным третьим лицам (в частности, операторам платёжных систем — при онлайн-оплате заказа) осуществляется исключительно в объёме, необходимом для достижения целей, указанных в разделе 4, и на законных основаниях.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6.5. </w:t>
      </w:r>
      <w:r>
        <w:rPr>
          <w:sz w:val="22"/>
          <w:szCs w:val="22"/>
        </w:rPr>
        <w:t xml:space="preserve">Трансграничная передача персональных данных Оператором не осуществляется.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7. Сроки и условия хранения персональных данных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7.1. </w:t>
      </w:r>
      <w:r>
        <w:rPr>
          <w:sz w:val="22"/>
          <w:szCs w:val="22"/>
        </w:rPr>
        <w:t xml:space="preserve">Персональные данные субъектов, включая данные, обрабатываемые в целях исполнения заказов и ведения программы лояльности, хранятся Оператором бессрочно — до момента поступления от субъекта персональных данных требования об их удалении либо отзыва согласия на обработку.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7.2. </w:t>
      </w:r>
      <w:r>
        <w:rPr>
          <w:sz w:val="22"/>
          <w:szCs w:val="22"/>
        </w:rPr>
        <w:t xml:space="preserve">После получения от субъекта персональных данных требования об удалении данных (отзыва согласия) Оператор прекращает их обработку и уничтожает данные в срок, не превышающий 30 (тридцати) дней с момента получения такого требования, за исключением случаев, когда более длительный срок хранения предусмотрен законодательством Российской Федерации (в частности, требованиями к хранению документов для целей бухгалтерского и налогового учёта).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7.3. </w:t>
      </w:r>
      <w:r>
        <w:rPr>
          <w:sz w:val="22"/>
          <w:szCs w:val="22"/>
        </w:rPr>
        <w:t xml:space="preserve">Обращаем внимание: срок хранения персональных данных не равен сроку действия начисленных бонусных баллов по программе лояльности. Начисленные баллы действуют в течение 1 (одного) года с даты начисления и аннулируются по истечении этого срока в автоматическом порядке, независимо от продолжения хранения персональных данных субъекта в соответствии с настоящим разделом.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8. Меры по обеспечению безопасности персональных данных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8.1. </w:t>
      </w:r>
      <w:r>
        <w:rPr>
          <w:sz w:val="22"/>
          <w:szCs w:val="22"/>
        </w:rPr>
        <w:t xml:space="preserve">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данных, в соответствии со статьёй 19 Федерального закона № 152-ФЗ.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9. Права субъекта персональных данных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9.1. </w:t>
      </w:r>
      <w:r>
        <w:rPr>
          <w:sz w:val="22"/>
          <w:szCs w:val="22"/>
        </w:rPr>
        <w:t xml:space="preserve">Субъект персональных данных вправе: получать от Оператора информацию, касающуюся обработки его персональных данных; требовать уточнения своих персональных данных, их блокирования или уничтожения в случае, если они являются неполными, устаревшими, неточными, незаконно полученными или не являются необходимыми для заявленной цели обработки; отозвать согласие на обработку персональных данных, направив соответствующее требование Оператору; требовать удаления персональных данных в порядке, предусмотренном разделом 7 настоящей Политики; обжаловать действия или бездействие Оператора в Федеральную службу по надзору в сфере связи, информационных технологий и массовых коммуникаций (Роскомнадзор) либо в судебном порядке.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9.2. </w:t>
      </w:r>
      <w:r>
        <w:rPr>
          <w:sz w:val="22"/>
          <w:szCs w:val="22"/>
        </w:rPr>
        <w:t xml:space="preserve">Для реализации указанных прав субъект персональных данных вправе обратиться к Оператору по контактным данным, указанным в разделе 11 настоящей Политики.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10.1. </w:t>
      </w:r>
      <w:r>
        <w:rPr>
          <w:sz w:val="22"/>
          <w:szCs w:val="22"/>
        </w:rPr>
        <w:t xml:space="preserve">Оператор вправе вносить изменения в настоящую Политику. Действующая редакция Политики постоянно размещена на сайте Оператора </w:t>
      </w:r>
      <w:r>
        <w:rPr>
          <w:i/>
          <w:iCs/>
          <w:color w:val="C00000"/>
        </w:rPr>
        <w:t xml:space="preserve">[указать адрес сайта]</w:t>
      </w:r>
      <w:r>
        <w:rPr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sz w:val="22"/>
          <w:szCs w:val="22"/>
        </w:rPr>
        <w:t xml:space="preserve">10.2. </w:t>
      </w:r>
      <w:r>
        <w:rPr>
          <w:sz w:val="22"/>
          <w:szCs w:val="22"/>
        </w:rPr>
        <w:t xml:space="preserve">Настоящая Политика вступает в силу с момента утверждения и действует бессрочно, до замены её новой редакцией.</w:t>
      </w:r>
    </w:p>
    <w:p>
      <w:pPr>
        <w:pStyle w:val="Heading1"/>
        <w:spacing w:after="140" w:before="280"/>
      </w:pPr>
      <w:r>
        <w:rPr>
          <w:b/>
          <w:bCs/>
          <w:sz w:val="24"/>
          <w:szCs w:val="24"/>
        </w:rPr>
        <w:t xml:space="preserve">11. Контактная информация Оператора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100"/>
      </w:tblGrid>
      <w:tr>
        <w:tc>
          <w:tcPr>
            <w:tcW w:type="pct" w:w="50%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ООО «ВКУС И ЦВЕТ САНКТ-ПЕТЕРБУРГ»</w:t>
            </w:r>
          </w:p>
        </w:tc>
      </w:tr>
      <w:tr>
        <w:tc>
          <w:tcPr>
            <w:tcW w:type="pct" w:w="50%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ИНН / КПП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7840449080 / 784001001</w:t>
            </w:r>
          </w:p>
        </w:tc>
      </w:tr>
      <w:tr>
        <w:tc>
          <w:tcPr>
            <w:tcW w:type="pct" w:w="50%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ОГРН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1117847112030</w:t>
            </w:r>
          </w:p>
        </w:tc>
      </w:tr>
      <w:tr>
        <w:tc>
          <w:tcPr>
            <w:tcW w:type="pct" w:w="50%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Адрес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191186, Санкт-Петербург, наб. канала Грибоедова, д. 35, литер А, пом. 22-Н</w:t>
            </w:r>
          </w:p>
        </w:tc>
      </w:tr>
      <w:tr>
        <w:tc>
          <w:tcPr>
            <w:tcW w:type="pct" w:w="50%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Телефон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+7 (812) 312-63-58</w:t>
            </w:r>
          </w:p>
        </w:tc>
      </w:tr>
      <w:tr>
        <w:tc>
          <w:tcPr>
            <w:tcW w:type="pct" w:w="50%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E-mail по вопросам ПДн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[указать e-mail]</w:t>
            </w:r>
          </w:p>
        </w:tc>
      </w:tr>
      <w:tr>
        <w:tc>
          <w:tcPr>
            <w:tcW w:type="pct" w:w="50%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Ответственный за организацию обработки ПДн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[указать ФИО, должность]</w:t>
            </w:r>
          </w:p>
        </w:tc>
      </w:tr>
    </w:tbl>
    <w:p>
      <w:pPr>
        <w:spacing w:after="160" w:line="276"/>
        <w:jc w:val="both"/>
      </w:pPr>
      <w:r>
        <w:rPr>
          <w:sz w:val="22"/>
          <w:szCs w:val="22"/>
        </w:rPr>
        <w:t xml:space="preserve"/>
      </w:r>
    </w:p>
    <w:p>
      <w:pPr>
        <w:spacing w:after="160" w:line="276"/>
        <w:jc w:val="both"/>
      </w:pPr>
      <w:r>
        <w:rPr>
          <w:i/>
          <w:iCs/>
          <w:color w:val="808080"/>
          <w:sz w:val="18"/>
          <w:szCs w:val="18"/>
        </w:rPr>
        <w:t xml:space="preserve">Документ подготовлен как черновик для дальнейшей юридической проверки. Отмеченные </w:t>
      </w:r>
      <w:r>
        <w:rPr>
          <w:i/>
          <w:iCs/>
          <w:color w:val="C00000"/>
          <w:sz w:val="18"/>
          <w:szCs w:val="18"/>
        </w:rPr>
        <w:t xml:space="preserve">красным курсивом</w:t>
      </w:r>
      <w:r>
        <w:rPr>
          <w:i/>
          <w:iCs/>
          <w:color w:val="808080"/>
          <w:sz w:val="18"/>
          <w:szCs w:val="18"/>
        </w:rPr>
        <w:t xml:space="preserve"> фрагменты — места, которые нужно заполнить или уточнить, прежде чем публиковать документ. Условие о бессрочном хранении данных (п. 7.1) стоит дополнительно свериться с юристом: по умолчанию 152-ФЗ требует ограничивать срок хранения целями обработки, и формулировку может понадобиться усилить (например, отдельно указать основания продолжения хранения для действующих участников программы лояльности).</w:t>
      </w:r>
    </w:p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2026-09-11T09:04:19.811Z</dcterms:created>
  <dcterms:modified xsi:type="dcterms:W3CDTF">2026-09-11T09:04:19.812Z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